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1BDF7775" w14:textId="0E2893EA" w:rsidR="00F24176" w:rsidRDefault="00F24176" w:rsidP="00093FDF">
      <w:pPr>
        <w:pStyle w:val="Nzev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</w:t>
      </w:r>
      <w:r w:rsidR="009C731A">
        <w:rPr>
          <w:rFonts w:ascii="Arial" w:hAnsi="Arial" w:cs="Arial"/>
          <w:sz w:val="24"/>
        </w:rPr>
        <w:t>.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64C25CC8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74452">
        <w:rPr>
          <w:rFonts w:ascii="Arial" w:hAnsi="Arial" w:cs="Arial"/>
          <w:i w:val="0"/>
          <w:sz w:val="22"/>
          <w:szCs w:val="22"/>
        </w:rPr>
        <w:t>pro Plzeňský kraj</w:t>
      </w:r>
    </w:p>
    <w:p w14:paraId="7F1C1EA4" w14:textId="77777777" w:rsidR="002E6242" w:rsidRDefault="00812ED3" w:rsidP="00335FBC">
      <w:pPr>
        <w:pStyle w:val="Zkladntext"/>
        <w:spacing w:after="120"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2E6242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62C43F2" w:rsidR="00812ED3" w:rsidRPr="002E6242" w:rsidRDefault="002E6242" w:rsidP="002E6242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3581E58E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2E6242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004BB8C8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="002E6242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="002E6242">
        <w:rPr>
          <w:rFonts w:ascii="Arial" w:hAnsi="Arial" w:cs="Arial"/>
          <w:sz w:val="22"/>
          <w:szCs w:val="22"/>
        </w:rPr>
        <w:t>Ing. Olga Chvátalová</w:t>
      </w:r>
    </w:p>
    <w:p w14:paraId="33C8F953" w14:textId="388DCB2F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 xml:space="preserve">technických záležitostech oprávněn </w:t>
      </w:r>
      <w:proofErr w:type="gramStart"/>
      <w:r w:rsidRPr="00E93F51">
        <w:rPr>
          <w:rFonts w:ascii="Arial" w:hAnsi="Arial" w:cs="Arial"/>
          <w:snapToGrid w:val="0"/>
          <w:sz w:val="22"/>
          <w:szCs w:val="22"/>
        </w:rPr>
        <w:t>jednat:</w:t>
      </w:r>
      <w:r w:rsidR="002E6242">
        <w:rPr>
          <w:rFonts w:ascii="Arial" w:hAnsi="Arial" w:cs="Arial"/>
          <w:snapToGrid w:val="0"/>
          <w:sz w:val="22"/>
          <w:szCs w:val="22"/>
        </w:rPr>
        <w:t xml:space="preserve">   </w:t>
      </w:r>
      <w:proofErr w:type="gramEnd"/>
      <w:r w:rsidR="002E6242">
        <w:rPr>
          <w:rFonts w:ascii="Arial" w:hAnsi="Arial" w:cs="Arial"/>
          <w:snapToGrid w:val="0"/>
          <w:sz w:val="22"/>
          <w:szCs w:val="22"/>
        </w:rPr>
        <w:t xml:space="preserve"> Zdenka Pšenáková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03ED070B" w14:textId="1EBA981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2E6242">
        <w:rPr>
          <w:rFonts w:ascii="Arial" w:hAnsi="Arial" w:cs="Arial"/>
          <w:sz w:val="22"/>
          <w:szCs w:val="22"/>
        </w:rPr>
        <w:t xml:space="preserve"> 727 956 </w:t>
      </w:r>
      <w:r w:rsidR="00B5703D">
        <w:rPr>
          <w:rFonts w:ascii="Arial" w:hAnsi="Arial" w:cs="Arial"/>
          <w:sz w:val="22"/>
          <w:szCs w:val="22"/>
        </w:rPr>
        <w:t>755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3C0B9693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335FBC">
        <w:rPr>
          <w:rFonts w:ascii="Arial" w:hAnsi="Arial" w:cs="Arial"/>
          <w:sz w:val="22"/>
          <w:szCs w:val="22"/>
        </w:rPr>
        <w:t>z.psenakova@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079FCBFC" w:rsidR="00EA21B7" w:rsidRPr="00E93F51" w:rsidRDefault="00EA21B7" w:rsidP="00A829F8">
      <w:pPr>
        <w:pStyle w:val="Bezmezer"/>
        <w:tabs>
          <w:tab w:val="left" w:pos="4536"/>
          <w:tab w:val="left" w:pos="6255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  <w:r w:rsidR="00A829F8">
        <w:rPr>
          <w:rFonts w:ascii="Arial" w:hAnsi="Arial" w:cs="Arial"/>
          <w:sz w:val="22"/>
          <w:szCs w:val="22"/>
        </w:rPr>
        <w:tab/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093DDD16" w:rsidR="00ED61CA" w:rsidRPr="00E93F51" w:rsidRDefault="00812ED3" w:rsidP="005116E9">
      <w:pPr>
        <w:tabs>
          <w:tab w:val="left" w:pos="4253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5116E9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5DE543C5" w14:textId="0ED9A634" w:rsidR="005116E9" w:rsidRDefault="00ED61CA" w:rsidP="005116E9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5116E9">
        <w:rPr>
          <w:rFonts w:ascii="Arial" w:hAnsi="Arial" w:cs="Arial"/>
          <w:sz w:val="22"/>
          <w:szCs w:val="22"/>
        </w:rPr>
        <w:t xml:space="preserve">Adresa:                                                     </w:t>
      </w:r>
      <w:r w:rsidR="005116E9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5C3A8C7F" w:rsidR="00ED61CA" w:rsidRPr="00E93F51" w:rsidRDefault="005116E9" w:rsidP="005116E9">
      <w:pPr>
        <w:tabs>
          <w:tab w:val="left" w:pos="4253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D61CA" w:rsidRPr="00E93F51">
        <w:rPr>
          <w:rFonts w:ascii="Arial" w:hAnsi="Arial" w:cs="Arial"/>
          <w:sz w:val="22"/>
          <w:szCs w:val="22"/>
        </w:rPr>
        <w:t xml:space="preserve">zastoupený:    </w:t>
      </w:r>
      <w:r>
        <w:rPr>
          <w:rFonts w:ascii="Arial" w:hAnsi="Arial" w:cs="Arial"/>
          <w:sz w:val="22"/>
          <w:szCs w:val="22"/>
        </w:rPr>
        <w:t xml:space="preserve">                                        </w:t>
      </w:r>
      <w:r w:rsidR="00ED61CA" w:rsidRPr="00E93F51">
        <w:rPr>
          <w:rFonts w:ascii="Arial" w:hAnsi="Arial" w:cs="Arial"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335FBC">
        <w:rPr>
          <w:rFonts w:ascii="Arial" w:hAnsi="Arial" w:cs="Arial"/>
          <w:i/>
          <w:sz w:val="22"/>
          <w:szCs w:val="22"/>
          <w:highlight w:val="yellow"/>
        </w:rPr>
        <w:t xml:space="preserve"> </w:t>
      </w:r>
    </w:p>
    <w:p w14:paraId="3D7FB62E" w14:textId="2DAB3979" w:rsidR="00ED61CA" w:rsidRPr="00E93F51" w:rsidRDefault="00ED61CA" w:rsidP="005116E9">
      <w:pPr>
        <w:tabs>
          <w:tab w:val="left" w:pos="4253"/>
          <w:tab w:val="left" w:pos="5954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5116E9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5116E9">
      <w:pPr>
        <w:tabs>
          <w:tab w:val="left" w:pos="4253"/>
        </w:tabs>
        <w:spacing w:before="240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326956E" w:rsidR="00ED61CA" w:rsidRPr="00E93F51" w:rsidRDefault="00ED61CA" w:rsidP="005116E9">
      <w:pPr>
        <w:tabs>
          <w:tab w:val="left" w:pos="4253"/>
          <w:tab w:val="left" w:pos="5954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043D8AEA" w14:textId="14AFAED7" w:rsidR="00812ED3" w:rsidRDefault="00ED61CA" w:rsidP="005116E9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335FBC">
        <w:rPr>
          <w:rFonts w:ascii="Arial" w:hAnsi="Arial" w:cs="Arial"/>
          <w:sz w:val="22"/>
          <w:szCs w:val="22"/>
        </w:rPr>
        <w:t xml:space="preserve">  </w:t>
      </w:r>
      <w:r w:rsidR="00335FBC"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335FBC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335FBC">
        <w:rPr>
          <w:rFonts w:ascii="Arial" w:hAnsi="Arial" w:cs="Arial"/>
          <w:sz w:val="22"/>
          <w:szCs w:val="22"/>
        </w:rPr>
        <w:t xml:space="preserve">  </w:t>
      </w:r>
    </w:p>
    <w:p w14:paraId="291BAFF1" w14:textId="76FDCACA" w:rsidR="00ED61CA" w:rsidRPr="00E93F51" w:rsidRDefault="00812ED3" w:rsidP="005116E9">
      <w:pPr>
        <w:tabs>
          <w:tab w:val="left" w:pos="4253"/>
        </w:tabs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5116E9">
      <w:pPr>
        <w:tabs>
          <w:tab w:val="left" w:pos="4253"/>
        </w:tabs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5116E9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5116E9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5116E9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3F8DC2FA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 rozsahu</w:t>
      </w:r>
      <w:r w:rsidR="008C0E8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6E3619">
        <w:rPr>
          <w:rFonts w:ascii="Arial" w:hAnsi="Arial" w:cs="Arial"/>
          <w:b/>
          <w:sz w:val="22"/>
          <w:szCs w:val="22"/>
        </w:rPr>
        <w:t>Staré Sedliště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6E3619">
        <w:rPr>
          <w:rFonts w:ascii="Arial" w:hAnsi="Arial" w:cs="Arial"/>
          <w:sz w:val="22"/>
          <w:szCs w:val="22"/>
        </w:rPr>
        <w:t>Staré Sedliště.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CB844CC" w:rsidR="008325A1" w:rsidRPr="00E93F51" w:rsidRDefault="008325A1" w:rsidP="007842A5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7842A5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 předběžný</w:t>
      </w:r>
      <w:r w:rsidR="00DC55FB" w:rsidRPr="007842A5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C1D8F" w:rsidRPr="007842A5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7842A5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7842A5" w:rsidRPr="007842A5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F35CF" w:rsidRPr="007842A5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50AAF3E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 xml:space="preserve">Čl. </w:t>
      </w:r>
      <w:r w:rsidR="00DE26E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1ECB0B1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E13C7">
        <w:rPr>
          <w:rStyle w:val="Siln"/>
          <w:rFonts w:ascii="Arial" w:hAnsi="Arial" w:cs="Arial"/>
          <w:b w:val="0"/>
          <w:sz w:val="22"/>
          <w:szCs w:val="22"/>
        </w:rPr>
        <w:t>31. 5. 202</w:t>
      </w:r>
      <w:r w:rsidR="00F24176">
        <w:rPr>
          <w:rStyle w:val="Siln"/>
          <w:rFonts w:ascii="Arial" w:hAnsi="Arial" w:cs="Arial"/>
          <w:b w:val="0"/>
          <w:sz w:val="22"/>
          <w:szCs w:val="22"/>
        </w:rPr>
        <w:t>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A2671D2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9502FE">
        <w:rPr>
          <w:rStyle w:val="Siln"/>
          <w:rFonts w:ascii="Arial" w:hAnsi="Arial" w:cs="Arial"/>
          <w:b w:val="0"/>
          <w:sz w:val="22"/>
          <w:szCs w:val="22"/>
        </w:rPr>
        <w:t>katastrální území</w:t>
      </w:r>
      <w:r w:rsidR="00DE7B93">
        <w:rPr>
          <w:rStyle w:val="Siln"/>
          <w:rFonts w:ascii="Arial" w:hAnsi="Arial" w:cs="Arial"/>
          <w:b w:val="0"/>
          <w:sz w:val="22"/>
          <w:szCs w:val="22"/>
        </w:rPr>
        <w:t xml:space="preserve"> Staré Sedliště,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5E451E0D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F24176">
        <w:rPr>
          <w:rFonts w:ascii="Arial" w:hAnsi="Arial" w:cs="Arial"/>
          <w:b w:val="0"/>
          <w:i w:val="0"/>
          <w:sz w:val="22"/>
          <w:szCs w:val="22"/>
        </w:rPr>
        <w:t xml:space="preserve"> 31. 5. 2024.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7F05C153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695361AB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391F318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5312365" w14:textId="0F031239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</w:p>
    <w:p w14:paraId="19279F14" w14:textId="1713E955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7CB9B75" w14:textId="77777777" w:rsidR="003827C0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ukončení účinnosti smlouvy. </w:t>
      </w:r>
    </w:p>
    <w:p w14:paraId="66ECFE81" w14:textId="0EB4591E" w:rsidR="004641A4" w:rsidRDefault="00B33CCB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ED6D468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29F7A3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55666A25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písemně doručením do datové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lastRenderedPageBreak/>
        <w:t>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35979B2F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34CC2026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CCAD485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</w:t>
      </w:r>
      <w:r w:rsidR="00D96A09"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ve výši 0,2</w:t>
      </w:r>
      <w:r w:rsidR="00D96A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D96A09"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D96A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D96A09"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3791BFD3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4E449C92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0462E58E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 w:rsidRPr="00DE26E1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E26E1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2E53653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9C3587">
        <w:rPr>
          <w:rFonts w:ascii="Arial" w:hAnsi="Arial" w:cs="Arial"/>
          <w:bCs/>
          <w:sz w:val="22"/>
          <w:szCs w:val="22"/>
        </w:rPr>
        <w:t xml:space="preserve"> 500 000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7EEEEE65" w:rsidR="00E5320A" w:rsidRPr="00E5320A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5320A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Smlouva je vyhotovena ve čtyřech stejnopisech, z toho ve dvou vyhotoveních pro objednatele a ve dvou vyhotovení pro zhotovitele, z n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ichž každý má povahu originálu; a příloha č. 1 ve dvou vyhotovení.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26917BA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9C3587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6411B38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04FD97A4" w14:textId="77777777" w:rsidR="0029141F" w:rsidRDefault="009C3587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4593E048" w14:textId="77777777" w:rsidR="009C3587" w:rsidRDefault="009C3587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4ACD87CC" w:rsidR="009C3587" w:rsidRPr="00E93F51" w:rsidRDefault="009C3587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9C3587"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4B9922FB" w14:textId="77777777" w:rsidR="0083335A" w:rsidRPr="00E93F51" w:rsidRDefault="0083335A" w:rsidP="0083335A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83335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FABF17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83335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83335A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83335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83335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83335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83335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83335A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83335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83335A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83335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83335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3105A548" w:rsidR="00A85C66" w:rsidRPr="00E93F51" w:rsidRDefault="00363046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1BE0487D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6F6E" w14:textId="77777777" w:rsidR="00931DD8" w:rsidRDefault="00931DD8">
      <w:r>
        <w:separator/>
      </w:r>
    </w:p>
  </w:endnote>
  <w:endnote w:type="continuationSeparator" w:id="0">
    <w:p w14:paraId="555E9428" w14:textId="77777777" w:rsidR="00931DD8" w:rsidRDefault="00931DD8">
      <w:r>
        <w:continuationSeparator/>
      </w:r>
    </w:p>
  </w:endnote>
  <w:endnote w:type="continuationNotice" w:id="1">
    <w:p w14:paraId="04EB4A48" w14:textId="77777777" w:rsidR="00931DD8" w:rsidRDefault="00931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85F8" w14:textId="77777777" w:rsidR="00931DD8" w:rsidRDefault="00931DD8">
      <w:r>
        <w:separator/>
      </w:r>
    </w:p>
  </w:footnote>
  <w:footnote w:type="continuationSeparator" w:id="0">
    <w:p w14:paraId="2D85ED6D" w14:textId="77777777" w:rsidR="00931DD8" w:rsidRDefault="00931DD8">
      <w:r>
        <w:continuationSeparator/>
      </w:r>
    </w:p>
  </w:footnote>
  <w:footnote w:type="continuationNotice" w:id="1">
    <w:p w14:paraId="36EC4F3C" w14:textId="77777777" w:rsidR="00931DD8" w:rsidRDefault="00931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1C48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3737F"/>
    <w:rsid w:val="00240085"/>
    <w:rsid w:val="0024276B"/>
    <w:rsid w:val="00244456"/>
    <w:rsid w:val="00246BFC"/>
    <w:rsid w:val="00250307"/>
    <w:rsid w:val="002539C7"/>
    <w:rsid w:val="00254615"/>
    <w:rsid w:val="00260388"/>
    <w:rsid w:val="00263305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6242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0B10"/>
    <w:rsid w:val="003317F8"/>
    <w:rsid w:val="00332401"/>
    <w:rsid w:val="00332771"/>
    <w:rsid w:val="003335F5"/>
    <w:rsid w:val="00335FBC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3046"/>
    <w:rsid w:val="00364403"/>
    <w:rsid w:val="00366378"/>
    <w:rsid w:val="0037067E"/>
    <w:rsid w:val="00372567"/>
    <w:rsid w:val="00373110"/>
    <w:rsid w:val="00374F0E"/>
    <w:rsid w:val="0037583F"/>
    <w:rsid w:val="0038187E"/>
    <w:rsid w:val="003827C0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FA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16E9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03D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61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3308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2A5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A6BC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13C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35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0E81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31DD8"/>
    <w:rsid w:val="0094054F"/>
    <w:rsid w:val="0094270F"/>
    <w:rsid w:val="00942A75"/>
    <w:rsid w:val="00950158"/>
    <w:rsid w:val="009502F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87528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C3587"/>
    <w:rsid w:val="009C731A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74452"/>
    <w:rsid w:val="00A829F8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5703D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506B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A09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6E1"/>
    <w:rsid w:val="00DE2E36"/>
    <w:rsid w:val="00DE38BA"/>
    <w:rsid w:val="00DE4482"/>
    <w:rsid w:val="00DE53A0"/>
    <w:rsid w:val="00DE7B93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5333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4176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F241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LongProperties xmlns="http://schemas.microsoft.com/office/2006/metadata/longProperties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4788</Words>
  <Characters>28250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30</cp:revision>
  <cp:lastPrinted>2024-02-13T09:32:00Z</cp:lastPrinted>
  <dcterms:created xsi:type="dcterms:W3CDTF">2024-01-03T08:34:00Z</dcterms:created>
  <dcterms:modified xsi:type="dcterms:W3CDTF">2024-02-13T09:32:00Z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